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928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A71CCB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5301,564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A71CCB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5301,564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A71CCB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3896,191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A71CCB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3896,191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A71CCB" w:rsidP="003F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1405,373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71CC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1405,373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A71CCB" w:rsidP="001C1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120589,011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(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1476,900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FC1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1476,900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  <w:r w:rsidRPr="00BB2FB8">
              <w:rPr>
                <w:rFonts w:ascii="Times New Roman" w:hAnsi="Times New Roman"/>
              </w:rPr>
              <w:t xml:space="preserve"> за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A71CCB" w:rsidRDefault="00A71CC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11112,111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lastRenderedPageBreak/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4430,790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4430,790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A71CCB" w:rsidRDefault="00A71CC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6192,398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A71CCB" w:rsidRDefault="00A71CC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6192,398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118,923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D04279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A71CC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118,923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F6EA4" w:rsidRDefault="00A71CCB" w:rsidP="001C1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17890,575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0874E7" w:rsidP="00647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875,91</w:t>
            </w:r>
            <w:r w:rsidR="00647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47D3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875,912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47D3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677,846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647D3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198,066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0A6064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630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15,80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647D3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315,723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647D3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92,933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647D3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7,144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647D37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4410,018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47D3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4410,018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47D37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2399,323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647D37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703,017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47D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1292,467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47D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9,732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47D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3,825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647D3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1,654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6057EB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471,255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057EB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471,255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057EB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471,255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капит.ремонт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76B94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6057EB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409,513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057EB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409,513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057EB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409,513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мест.б</w:t>
            </w:r>
            <w:proofErr w:type="spell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D04279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D04279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D04279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605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="006057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8,157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057E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258,157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057E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258,157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630906" w:rsidRDefault="00D04279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25864,147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105,895</w:t>
            </w:r>
          </w:p>
        </w:tc>
      </w:tr>
      <w:tr w:rsidR="006C6E7B" w:rsidRPr="004C3B59" w:rsidTr="00C51147">
        <w:trPr>
          <w:trHeight w:val="40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105,895</w:t>
            </w: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04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r w:rsidRPr="00504C32">
              <w:rPr>
                <w:rFonts w:ascii="Times New Roman" w:hAnsi="Times New Roman"/>
                <w:color w:val="000000"/>
              </w:rPr>
              <w:lastRenderedPageBreak/>
              <w:t>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 w:rsidR="00D04279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="00D04279">
              <w:rPr>
                <w:rFonts w:ascii="Times New Roman" w:hAnsi="Times New Roman"/>
                <w:color w:val="000000"/>
              </w:rPr>
              <w:t>благоустройство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Default="00DF1C70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908 00</w:t>
            </w:r>
          </w:p>
          <w:p w:rsidR="00DF1C70" w:rsidRPr="00504C32" w:rsidRDefault="00D04279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L5550</w:t>
            </w:r>
            <w:r w:rsidR="00DF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D04279" w:rsidRDefault="00D04279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708,340</w:t>
            </w: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61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Default="00D04279" w:rsidP="00D0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F1C70" w:rsidRPr="00504C32" w:rsidRDefault="00D04279" w:rsidP="00D0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DF1C70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04279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708,340</w:t>
            </w: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46,739</w:t>
            </w:r>
          </w:p>
        </w:tc>
      </w:tr>
      <w:tr w:rsidR="00D04279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4279" w:rsidRPr="00504C32" w:rsidRDefault="00D04279" w:rsidP="00994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Pr="00504C32" w:rsidRDefault="00D0427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Pr="00504C32" w:rsidRDefault="00D0427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Default="00D04279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46,739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Жилищ.контр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539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539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D04279" w:rsidRDefault="003F6EA4" w:rsidP="00D0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6EA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51</w:t>
            </w:r>
            <w:r w:rsidR="00DF1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F1C7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,94</w:t>
            </w:r>
            <w:r w:rsidR="00D04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957F7" w:rsidRP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L567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04279" w:rsidRDefault="00D957F7" w:rsidP="00D042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515,94</w:t>
            </w:r>
            <w:r w:rsidR="00D04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D957F7" w:rsidRP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04279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3431,047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C5114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C51147" w:rsidRDefault="00C511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D04279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3431,047</w:t>
            </w:r>
          </w:p>
        </w:tc>
      </w:tr>
      <w:tr w:rsidR="00D04279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279" w:rsidRPr="00504C32" w:rsidRDefault="00D04279" w:rsidP="00D042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фед.б</w:t>
            </w:r>
            <w:proofErr w:type="spellEnd"/>
            <w:r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Default="00D04279" w:rsidP="00D0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D04279" w:rsidRDefault="00D04279" w:rsidP="00D0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Pr="00504C32" w:rsidRDefault="00D04279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Pr="00D04279" w:rsidRDefault="00D04279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6371,943</w:t>
            </w:r>
          </w:p>
        </w:tc>
      </w:tr>
      <w:tr w:rsidR="00D04279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279" w:rsidRPr="00504C32" w:rsidRDefault="00D04279" w:rsidP="00987C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Default="00D04279" w:rsidP="00D0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D04279" w:rsidRDefault="00D04279" w:rsidP="00D04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Pr="00504C32" w:rsidRDefault="00D04279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79" w:rsidRPr="00D04279" w:rsidRDefault="00D04279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6371,943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</w:t>
            </w:r>
            <w:r w:rsidRPr="00504C32">
              <w:rPr>
                <w:rFonts w:ascii="Times New Roman" w:hAnsi="Times New Roman"/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908 00</w:t>
            </w:r>
          </w:p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13000,000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13000,000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401,863</w:t>
            </w:r>
          </w:p>
        </w:tc>
      </w:tr>
      <w:tr w:rsidR="00987C1D" w:rsidRPr="00987C1D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401,863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D04279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33030,602</w:t>
            </w:r>
          </w:p>
        </w:tc>
      </w:tr>
      <w:tr w:rsidR="00987C1D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C1D" w:rsidRPr="005A0D76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D04279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471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921,177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0874E7"/>
    <w:rsid w:val="000A6064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3F6EA4"/>
    <w:rsid w:val="00400060"/>
    <w:rsid w:val="00415B4B"/>
    <w:rsid w:val="00415F45"/>
    <w:rsid w:val="00420B4C"/>
    <w:rsid w:val="004366D2"/>
    <w:rsid w:val="004425F7"/>
    <w:rsid w:val="00457FFA"/>
    <w:rsid w:val="00471E30"/>
    <w:rsid w:val="004B0DA3"/>
    <w:rsid w:val="004B43DE"/>
    <w:rsid w:val="004F7421"/>
    <w:rsid w:val="00504C32"/>
    <w:rsid w:val="00531E6F"/>
    <w:rsid w:val="005348BB"/>
    <w:rsid w:val="005A0D76"/>
    <w:rsid w:val="005B2575"/>
    <w:rsid w:val="006057EB"/>
    <w:rsid w:val="00630906"/>
    <w:rsid w:val="00631432"/>
    <w:rsid w:val="0063309A"/>
    <w:rsid w:val="00633916"/>
    <w:rsid w:val="00647D37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87C1D"/>
    <w:rsid w:val="0099471D"/>
    <w:rsid w:val="009D0DDD"/>
    <w:rsid w:val="00A36087"/>
    <w:rsid w:val="00A51C8B"/>
    <w:rsid w:val="00A64E3A"/>
    <w:rsid w:val="00A66C37"/>
    <w:rsid w:val="00A66E23"/>
    <w:rsid w:val="00A70D5C"/>
    <w:rsid w:val="00A71CCB"/>
    <w:rsid w:val="00AB1FAC"/>
    <w:rsid w:val="00B2011B"/>
    <w:rsid w:val="00BB2FB8"/>
    <w:rsid w:val="00BD4B8B"/>
    <w:rsid w:val="00C51147"/>
    <w:rsid w:val="00C763B5"/>
    <w:rsid w:val="00CD6E91"/>
    <w:rsid w:val="00CD748B"/>
    <w:rsid w:val="00D0144E"/>
    <w:rsid w:val="00D02D48"/>
    <w:rsid w:val="00D04279"/>
    <w:rsid w:val="00D61966"/>
    <w:rsid w:val="00D76B94"/>
    <w:rsid w:val="00D8046D"/>
    <w:rsid w:val="00D81D5E"/>
    <w:rsid w:val="00D92854"/>
    <w:rsid w:val="00D957F7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A79D-8E9C-4628-9D7D-5EB0F6C1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Кадацкая Мария</cp:lastModifiedBy>
  <cp:revision>72</cp:revision>
  <dcterms:created xsi:type="dcterms:W3CDTF">2014-10-28T05:38:00Z</dcterms:created>
  <dcterms:modified xsi:type="dcterms:W3CDTF">2019-01-22T05:09:00Z</dcterms:modified>
</cp:coreProperties>
</file>